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71040">
        <w:rPr>
          <w:sz w:val="24"/>
          <w:szCs w:val="24"/>
        </w:rPr>
        <w:t>10.02.2023 г. № 80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Pr="00217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границах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C4681" w:rsidRPr="007035EA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Брянской области,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>
        <w:rPr>
          <w:rFonts w:ascii="Times New Roman" w:hAnsi="Times New Roman" w:cs="Times New Roman"/>
          <w:bCs/>
          <w:sz w:val="26"/>
          <w:szCs w:val="26"/>
        </w:rPr>
        <w:t xml:space="preserve"> в новой редакции</w:t>
      </w:r>
    </w:p>
    <w:p w:rsidR="00EC4681" w:rsidRPr="00EF00ED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81" w:rsidRPr="00253F0F" w:rsidRDefault="00EC4681" w:rsidP="00EC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3F0F" w:rsidRDefault="00EC4681" w:rsidP="00EC4681">
      <w:pPr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ПОСТАНОВЛЯЮ</w:t>
      </w:r>
      <w:r w:rsidRPr="00EC46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4681" w:rsidRPr="00EF00ED" w:rsidRDefault="00EC4681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F057A8">
        <w:rPr>
          <w:rFonts w:ascii="Times New Roman" w:hAnsi="Times New Roman" w:cs="Times New Roman"/>
          <w:sz w:val="26"/>
          <w:szCs w:val="26"/>
        </w:rPr>
        <w:t xml:space="preserve"> в новой редакции </w:t>
      </w:r>
      <w:r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EC4681" w:rsidRPr="00EF00ED" w:rsidRDefault="00EC4681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Pr="00EF00ED" w:rsidRDefault="00EC4681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EC4681" w:rsidRPr="00EF00ED" w:rsidRDefault="00EC4681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EF00ED" w:rsidRDefault="00EC4681" w:rsidP="00EC46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C4681" w:rsidRPr="00EC4681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E7" w:rsidRDefault="00254CE7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Утверждена</w:t>
      </w:r>
    </w:p>
    <w:p w:rsidR="00D44831" w:rsidRPr="00EF00ED" w:rsidRDefault="00EC240E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71040">
        <w:rPr>
          <w:rFonts w:ascii="Times New Roman" w:eastAsia="Times New Roman" w:hAnsi="Times New Roman" w:cs="Times New Roman"/>
          <w:sz w:val="26"/>
          <w:szCs w:val="26"/>
          <w:lang w:eastAsia="ru-RU"/>
        </w:rPr>
        <w:t>10.02.</w:t>
      </w:r>
      <w:r w:rsidR="00EC24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71040">
        <w:rPr>
          <w:rFonts w:ascii="Times New Roman" w:eastAsia="Times New Roman" w:hAnsi="Times New Roman" w:cs="Times New Roman"/>
          <w:sz w:val="26"/>
          <w:szCs w:val="26"/>
          <w:lang w:eastAsia="ru-RU"/>
        </w:rPr>
        <w:t>80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44"/>
      <w:bookmarkEnd w:id="0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</w:t>
      </w:r>
      <w:r w:rsidR="009C5A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9C5A5B">
        <w:rPr>
          <w:rFonts w:ascii="Times New Roman" w:hAnsi="Times New Roman" w:cs="Times New Roman"/>
          <w:bCs/>
          <w:sz w:val="26"/>
          <w:szCs w:val="26"/>
        </w:rPr>
        <w:t>на 2023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94"/>
      <w:bookmarkEnd w:id="1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 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EF00ED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нормативные правовые акты, регламентирующие обязательные требования в сфере муниципального земельного контроля, </w:t>
      </w:r>
      <w:r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Планы проведения плановых проверок соблюдения требований земельного законодательства Российской Федерации юридических лиц, индивидуальных п</w:t>
      </w:r>
      <w:r w:rsidR="00DC0F7D"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EF00ED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EF00ED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отсутствие волеизъявления органа, уполномоченного на распоряжение такими землями.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EF00ED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FD7799" w:rsidRPr="0094512E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5A5B">
        <w:rPr>
          <w:rFonts w:ascii="Times New Roman" w:hAnsi="Times New Roman"/>
          <w:sz w:val="26"/>
          <w:szCs w:val="26"/>
        </w:rPr>
        <w:t>За 202</w:t>
      </w:r>
      <w:r w:rsidR="00331330" w:rsidRPr="009C5A5B">
        <w:rPr>
          <w:rFonts w:ascii="Times New Roman" w:hAnsi="Times New Roman"/>
          <w:sz w:val="26"/>
          <w:szCs w:val="26"/>
        </w:rPr>
        <w:t>1</w:t>
      </w:r>
      <w:r w:rsidRPr="009C5A5B">
        <w:rPr>
          <w:rFonts w:ascii="Times New Roman" w:hAnsi="Times New Roman"/>
          <w:sz w:val="26"/>
          <w:szCs w:val="26"/>
        </w:rPr>
        <w:t xml:space="preserve"> год проверки в отношении юридических лиц не проводились.</w:t>
      </w:r>
    </w:p>
    <w:p w:rsidR="00FD7799" w:rsidRPr="00D96792" w:rsidRDefault="00FD7799" w:rsidP="00FD779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96792">
        <w:rPr>
          <w:rFonts w:ascii="Times New Roman" w:hAnsi="Times New Roman"/>
          <w:sz w:val="26"/>
          <w:szCs w:val="26"/>
        </w:rPr>
        <w:t xml:space="preserve">Проведены плановые документарные  </w:t>
      </w:r>
      <w:r w:rsidR="003D0E62">
        <w:rPr>
          <w:rFonts w:ascii="Times New Roman" w:hAnsi="Times New Roman"/>
          <w:sz w:val="26"/>
          <w:szCs w:val="26"/>
        </w:rPr>
        <w:t>и выездные проверки в отношении 8 граждан по 8</w:t>
      </w:r>
      <w:r w:rsidRPr="00D96792">
        <w:rPr>
          <w:rFonts w:ascii="Times New Roman" w:hAnsi="Times New Roman"/>
          <w:sz w:val="26"/>
          <w:szCs w:val="26"/>
        </w:rPr>
        <w:t xml:space="preserve"> земельным участкам. В ходе проведения проверок </w:t>
      </w:r>
      <w:r w:rsidR="003D0E62">
        <w:rPr>
          <w:rFonts w:ascii="Times New Roman" w:hAnsi="Times New Roman"/>
          <w:sz w:val="26"/>
          <w:szCs w:val="26"/>
        </w:rPr>
        <w:t>установлено 1 правонарушение. Кроме этого в 2021</w:t>
      </w:r>
      <w:r w:rsidRPr="00D96792">
        <w:rPr>
          <w:rFonts w:ascii="Times New Roman" w:hAnsi="Times New Roman"/>
          <w:sz w:val="26"/>
          <w:szCs w:val="26"/>
        </w:rPr>
        <w:t xml:space="preserve"> году было проведено </w:t>
      </w:r>
      <w:r w:rsidR="003D0E62">
        <w:rPr>
          <w:rFonts w:ascii="Times New Roman" w:hAnsi="Times New Roman"/>
          <w:sz w:val="26"/>
          <w:szCs w:val="26"/>
        </w:rPr>
        <w:t>2</w:t>
      </w:r>
      <w:r w:rsidRPr="00D96792">
        <w:rPr>
          <w:rFonts w:ascii="Times New Roman" w:hAnsi="Times New Roman"/>
          <w:sz w:val="26"/>
          <w:szCs w:val="26"/>
        </w:rPr>
        <w:t xml:space="preserve"> внеплановых проверки в отношении граждан в св</w:t>
      </w:r>
      <w:r w:rsidR="00E1048C">
        <w:rPr>
          <w:rFonts w:ascii="Times New Roman" w:hAnsi="Times New Roman"/>
          <w:sz w:val="26"/>
          <w:szCs w:val="26"/>
        </w:rPr>
        <w:t>язи с поступившими обращениями, в</w:t>
      </w:r>
      <w:r w:rsidR="003D0E62">
        <w:rPr>
          <w:rFonts w:ascii="Times New Roman" w:hAnsi="Times New Roman"/>
          <w:sz w:val="26"/>
          <w:szCs w:val="26"/>
        </w:rPr>
        <w:t xml:space="preserve"> отношении 1 участка было выявлено нарушение.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самовольное занятие земельного участка (статья 7.1.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6712C7" w:rsidRPr="006712C7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 w:rsidR="006712C7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712C7"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предостережений;</w:t>
      </w:r>
    </w:p>
    <w:p w:rsidR="006667F1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консультирование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667F1" w:rsidRPr="00CF2730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30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155A69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частью 3 статьи 46</w:t>
        </w:r>
      </w:hyperlink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683F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683FD1" w:rsidRPr="00683FD1">
        <w:rPr>
          <w:rFonts w:ascii="Times New Roman" w:hAnsi="Times New Roman" w:cs="Times New Roman"/>
          <w:iCs/>
          <w:color w:val="000000"/>
          <w:sz w:val="26"/>
          <w:szCs w:val="26"/>
        </w:rPr>
        <w:t>и города Трубчевска</w:t>
      </w:r>
      <w:r w:rsidR="00683FD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641E9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готовящихся нарушениях обязательных требований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указанных в </w:t>
      </w:r>
      <w:hyperlink r:id="rId8" w:history="1">
        <w:r w:rsidR="007641E9">
          <w:rPr>
            <w:rFonts w:ascii="Times New Roman" w:hAnsi="Times New Roman" w:cs="Times New Roman"/>
            <w:color w:val="0000FF"/>
            <w:sz w:val="26"/>
            <w:szCs w:val="26"/>
          </w:rPr>
          <w:t>части 5 статьи 8.2</w:t>
        </w:r>
      </w:hyperlink>
      <w:r w:rsidR="007641E9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>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155A6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администрации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155A69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sz w:val="26"/>
          <w:szCs w:val="26"/>
        </w:rPr>
        <w:t>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155A69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155A69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155A69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155A69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75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6A2D6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155A69" w:rsidRPr="00155A69" w:rsidRDefault="00155A69" w:rsidP="00155A6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8. </w:t>
      </w:r>
      <w:r w:rsidR="007D2EA3" w:rsidRPr="00155A69">
        <w:rPr>
          <w:rFonts w:ascii="Times New Roman" w:eastAsia="Calibri" w:hAnsi="Times New Roman" w:cs="Times New Roman"/>
          <w:sz w:val="26"/>
          <w:szCs w:val="26"/>
        </w:rPr>
        <w:t>Создание системы консультирования подконтрольных субъектов</w:t>
      </w:r>
      <w:r w:rsidRPr="00155A6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155A69" w:rsidRDefault="00150DDA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155A69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9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A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(осуществляется посредством сбора  и анализа данных о проведенных контрольных мероприятиях и их результатах)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0A42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в период действия программы 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контрольных мероприятий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нимание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обеспечение</w:t>
      </w:r>
      <w:r w:rsidR="00155A69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обязательных требований,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истематического взаимодействия 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76527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F824FE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4F4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80D70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746"/>
    <w:rsid w:val="00106C57"/>
    <w:rsid w:val="00114DA6"/>
    <w:rsid w:val="001240B3"/>
    <w:rsid w:val="00150DDA"/>
    <w:rsid w:val="00155A69"/>
    <w:rsid w:val="00186E91"/>
    <w:rsid w:val="001A39E9"/>
    <w:rsid w:val="001B12B5"/>
    <w:rsid w:val="001E0A76"/>
    <w:rsid w:val="00217A78"/>
    <w:rsid w:val="002372DA"/>
    <w:rsid w:val="00245F1C"/>
    <w:rsid w:val="00253F0F"/>
    <w:rsid w:val="00254CE7"/>
    <w:rsid w:val="002571A3"/>
    <w:rsid w:val="002811B3"/>
    <w:rsid w:val="002A4A91"/>
    <w:rsid w:val="002C7808"/>
    <w:rsid w:val="002C7D56"/>
    <w:rsid w:val="002D6A59"/>
    <w:rsid w:val="002D7B78"/>
    <w:rsid w:val="002F083E"/>
    <w:rsid w:val="002F2F5E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D0E62"/>
    <w:rsid w:val="003F3D8F"/>
    <w:rsid w:val="003F3DBF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661D1"/>
    <w:rsid w:val="004B3163"/>
    <w:rsid w:val="004D188F"/>
    <w:rsid w:val="004D7283"/>
    <w:rsid w:val="004F1ADE"/>
    <w:rsid w:val="004F4CC3"/>
    <w:rsid w:val="0052608A"/>
    <w:rsid w:val="005565B1"/>
    <w:rsid w:val="00561434"/>
    <w:rsid w:val="00564799"/>
    <w:rsid w:val="00566FBE"/>
    <w:rsid w:val="00571BC8"/>
    <w:rsid w:val="00587669"/>
    <w:rsid w:val="0059111D"/>
    <w:rsid w:val="00592983"/>
    <w:rsid w:val="005A1979"/>
    <w:rsid w:val="005B726E"/>
    <w:rsid w:val="005E6E36"/>
    <w:rsid w:val="00613728"/>
    <w:rsid w:val="00625489"/>
    <w:rsid w:val="00657E0C"/>
    <w:rsid w:val="00662235"/>
    <w:rsid w:val="006667F1"/>
    <w:rsid w:val="006712C7"/>
    <w:rsid w:val="00683FD1"/>
    <w:rsid w:val="006A1744"/>
    <w:rsid w:val="006A2D64"/>
    <w:rsid w:val="006D4742"/>
    <w:rsid w:val="006D65DF"/>
    <w:rsid w:val="006E148A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4E7A"/>
    <w:rsid w:val="007A3935"/>
    <w:rsid w:val="007B1730"/>
    <w:rsid w:val="007B6444"/>
    <w:rsid w:val="007D2EA3"/>
    <w:rsid w:val="007E6898"/>
    <w:rsid w:val="00801760"/>
    <w:rsid w:val="00802A67"/>
    <w:rsid w:val="008154C2"/>
    <w:rsid w:val="008438D6"/>
    <w:rsid w:val="00844999"/>
    <w:rsid w:val="00855ED2"/>
    <w:rsid w:val="00872D57"/>
    <w:rsid w:val="00880146"/>
    <w:rsid w:val="00890DF7"/>
    <w:rsid w:val="008A4A1C"/>
    <w:rsid w:val="008B5FC8"/>
    <w:rsid w:val="008C5858"/>
    <w:rsid w:val="008F45EC"/>
    <w:rsid w:val="009265B1"/>
    <w:rsid w:val="0094512E"/>
    <w:rsid w:val="00956820"/>
    <w:rsid w:val="0095771B"/>
    <w:rsid w:val="009639AB"/>
    <w:rsid w:val="00983F71"/>
    <w:rsid w:val="009962B6"/>
    <w:rsid w:val="009C1A78"/>
    <w:rsid w:val="009C5831"/>
    <w:rsid w:val="009C5A5B"/>
    <w:rsid w:val="009C5DC2"/>
    <w:rsid w:val="009D454E"/>
    <w:rsid w:val="009E0193"/>
    <w:rsid w:val="00A01F01"/>
    <w:rsid w:val="00A41EE4"/>
    <w:rsid w:val="00A620AD"/>
    <w:rsid w:val="00A658A8"/>
    <w:rsid w:val="00A80D70"/>
    <w:rsid w:val="00AE7F20"/>
    <w:rsid w:val="00AF0EC7"/>
    <w:rsid w:val="00B30754"/>
    <w:rsid w:val="00B337D5"/>
    <w:rsid w:val="00B61BF4"/>
    <w:rsid w:val="00B706C7"/>
    <w:rsid w:val="00B71040"/>
    <w:rsid w:val="00BA237E"/>
    <w:rsid w:val="00BC6A8D"/>
    <w:rsid w:val="00BE4C07"/>
    <w:rsid w:val="00BF0AAC"/>
    <w:rsid w:val="00BF79C0"/>
    <w:rsid w:val="00C135BA"/>
    <w:rsid w:val="00C23AB5"/>
    <w:rsid w:val="00C265B2"/>
    <w:rsid w:val="00C33840"/>
    <w:rsid w:val="00C765D7"/>
    <w:rsid w:val="00C771CC"/>
    <w:rsid w:val="00C817C0"/>
    <w:rsid w:val="00CA772A"/>
    <w:rsid w:val="00CC182C"/>
    <w:rsid w:val="00CC7251"/>
    <w:rsid w:val="00CD010C"/>
    <w:rsid w:val="00CE295A"/>
    <w:rsid w:val="00CE3D46"/>
    <w:rsid w:val="00D2386D"/>
    <w:rsid w:val="00D34CF6"/>
    <w:rsid w:val="00D437D5"/>
    <w:rsid w:val="00D44831"/>
    <w:rsid w:val="00D96792"/>
    <w:rsid w:val="00DB1772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A33B9"/>
    <w:rsid w:val="00EB01D6"/>
    <w:rsid w:val="00EB27E3"/>
    <w:rsid w:val="00EC240E"/>
    <w:rsid w:val="00EC4681"/>
    <w:rsid w:val="00EE4A62"/>
    <w:rsid w:val="00EF00ED"/>
    <w:rsid w:val="00EF15E8"/>
    <w:rsid w:val="00F057A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317D-9BED-4D75-B278-149E2772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12</Pages>
  <Words>4163</Words>
  <Characters>23734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136</cp:revision>
  <cp:lastPrinted>2023-02-10T07:44:00Z</cp:lastPrinted>
  <dcterms:created xsi:type="dcterms:W3CDTF">2021-09-06T15:32:00Z</dcterms:created>
  <dcterms:modified xsi:type="dcterms:W3CDTF">2023-03-27T07:16:00Z</dcterms:modified>
</cp:coreProperties>
</file>