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4F0A48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F0A48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4A36E9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>Пр</w:t>
      </w:r>
      <w:r w:rsidR="004A36E9">
        <w:rPr>
          <w:rFonts w:ascii="Times New Roman" w:hAnsi="Times New Roman" w:cs="Times New Roman"/>
          <w:sz w:val="26"/>
          <w:szCs w:val="26"/>
        </w:rPr>
        <w:t>ием заявлений, постановка на учет и зачисление</w:t>
      </w:r>
    </w:p>
    <w:p w:rsidR="004A36E9" w:rsidRDefault="004A36E9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детей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дошкольные образовательные</w:t>
      </w:r>
    </w:p>
    <w:p w:rsidR="004A36E9" w:rsidRDefault="00CF04A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</w:t>
      </w:r>
      <w:r w:rsidR="004A36E9">
        <w:rPr>
          <w:rFonts w:ascii="Times New Roman" w:hAnsi="Times New Roman" w:cs="Times New Roman"/>
          <w:sz w:val="26"/>
          <w:szCs w:val="26"/>
        </w:rPr>
        <w:t>и</w:t>
      </w:r>
      <w:r w:rsidR="007C130F">
        <w:rPr>
          <w:rFonts w:ascii="Times New Roman" w:hAnsi="Times New Roman" w:cs="Times New Roman"/>
          <w:sz w:val="26"/>
          <w:szCs w:val="26"/>
        </w:rPr>
        <w:t>,</w:t>
      </w:r>
      <w:r w:rsidR="004A36E9">
        <w:rPr>
          <w:rFonts w:ascii="Times New Roman" w:hAnsi="Times New Roman" w:cs="Times New Roman"/>
          <w:sz w:val="26"/>
          <w:szCs w:val="26"/>
        </w:rPr>
        <w:t xml:space="preserve"> реализующие основную образовательную</w:t>
      </w:r>
    </w:p>
    <w:p w:rsidR="00E95143" w:rsidRPr="00755DCC" w:rsidRDefault="004A36E9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дошкольного образования (детские сады)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</w:t>
      </w:r>
      <w:proofErr w:type="gramStart"/>
      <w:r w:rsidR="00E84152" w:rsidRPr="00755DCC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4A36E9">
        <w:rPr>
          <w:rFonts w:ascii="Times New Roman" w:hAnsi="Times New Roman" w:cs="Times New Roman"/>
          <w:sz w:val="26"/>
          <w:szCs w:val="26"/>
        </w:rPr>
        <w:t>Прием заявлений, постановка на учет и зачисление</w:t>
      </w:r>
      <w:r w:rsidR="004A36E9" w:rsidRPr="004A36E9">
        <w:rPr>
          <w:rFonts w:ascii="Times New Roman" w:hAnsi="Times New Roman" w:cs="Times New Roman"/>
          <w:sz w:val="26"/>
          <w:szCs w:val="26"/>
        </w:rPr>
        <w:t xml:space="preserve"> </w:t>
      </w:r>
      <w:r w:rsidR="004A36E9">
        <w:rPr>
          <w:rFonts w:ascii="Times New Roman" w:hAnsi="Times New Roman" w:cs="Times New Roman"/>
          <w:sz w:val="26"/>
          <w:szCs w:val="26"/>
        </w:rPr>
        <w:t>детей в муниципальные дошкольные образовательные организации, реализующие основную образовательную</w:t>
      </w:r>
      <w:r w:rsidR="004A36E9" w:rsidRPr="004A36E9">
        <w:rPr>
          <w:rFonts w:ascii="Times New Roman" w:hAnsi="Times New Roman" w:cs="Times New Roman"/>
          <w:sz w:val="26"/>
          <w:szCs w:val="26"/>
        </w:rPr>
        <w:t xml:space="preserve"> </w:t>
      </w:r>
      <w:r w:rsidR="004A36E9">
        <w:rPr>
          <w:rFonts w:ascii="Times New Roman" w:hAnsi="Times New Roman" w:cs="Times New Roman"/>
          <w:sz w:val="26"/>
          <w:szCs w:val="26"/>
        </w:rPr>
        <w:t>программу дошкольного образования (детские сады)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11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9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62</w:t>
      </w:r>
      <w:r w:rsidR="004A36E9">
        <w:rPr>
          <w:rStyle w:val="3"/>
          <w:rFonts w:ascii="Times New Roman" w:hAnsi="Times New Roman" w:cs="Times New Roman"/>
          <w:b w:val="0"/>
          <w:bCs w:val="0"/>
        </w:rPr>
        <w:t>3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муниципальную услугу, может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заявителя либо в исправлении допущенных опечаток и ошибок или в случае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556B"/>
    <w:rsid w:val="003C6F79"/>
    <w:rsid w:val="003F527D"/>
    <w:rsid w:val="0047728F"/>
    <w:rsid w:val="00495760"/>
    <w:rsid w:val="004A36E9"/>
    <w:rsid w:val="004A6D25"/>
    <w:rsid w:val="004C18AB"/>
    <w:rsid w:val="004F0A48"/>
    <w:rsid w:val="00526087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3B4D"/>
    <w:rsid w:val="008B5800"/>
    <w:rsid w:val="008E7A0E"/>
    <w:rsid w:val="00907B00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EF730D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49</cp:revision>
  <cp:lastPrinted>2018-07-05T08:35:00Z</cp:lastPrinted>
  <dcterms:created xsi:type="dcterms:W3CDTF">2018-05-28T13:32:00Z</dcterms:created>
  <dcterms:modified xsi:type="dcterms:W3CDTF">2018-07-05T11:59:00Z</dcterms:modified>
</cp:coreProperties>
</file>